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3D" w:rsidRDefault="00AA1C3D" w:rsidP="006E525E">
      <w:pPr>
        <w:jc w:val="both"/>
      </w:pPr>
      <w:r w:rsidRPr="00AF6585">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94.25pt;height:40.5pt;visibility:visible">
            <v:imagedata r:id="rId5" o:title=""/>
          </v:shape>
        </w:pict>
      </w:r>
      <w:r>
        <w:t xml:space="preserve">                                                        </w:t>
      </w:r>
      <w:r w:rsidRPr="00AF6585">
        <w:rPr>
          <w:noProof/>
          <w:lang w:eastAsia="it-IT"/>
        </w:rPr>
        <w:pict>
          <v:shape id="Immagine 2" o:spid="_x0000_i1026" type="#_x0000_t75" style="width:99pt;height:70.5pt;visibility:visible">
            <v:imagedata r:id="rId6" o:title=""/>
          </v:shape>
        </w:pict>
      </w:r>
    </w:p>
    <w:p w:rsidR="00AA1C3D" w:rsidRDefault="00AA1C3D" w:rsidP="006E525E">
      <w:pPr>
        <w:jc w:val="both"/>
      </w:pPr>
    </w:p>
    <w:p w:rsidR="00AA1C3D" w:rsidRDefault="00AA1C3D" w:rsidP="006E525E">
      <w:pPr>
        <w:jc w:val="both"/>
      </w:pPr>
    </w:p>
    <w:p w:rsidR="00AA1C3D" w:rsidRPr="005B0000" w:rsidRDefault="00AA1C3D" w:rsidP="00B21F8A">
      <w:pPr>
        <w:pStyle w:val="Heading3"/>
        <w:jc w:val="right"/>
        <w:rPr>
          <w:rFonts w:ascii="Calibri" w:hAnsi="Calibri"/>
          <w:color w:val="17365D"/>
          <w:sz w:val="24"/>
          <w:szCs w:val="24"/>
        </w:rPr>
      </w:pPr>
      <w:r w:rsidRPr="005B0000">
        <w:rPr>
          <w:rFonts w:ascii="Calibri" w:hAnsi="Calibri"/>
          <w:color w:val="17365D"/>
          <w:sz w:val="24"/>
          <w:szCs w:val="24"/>
        </w:rPr>
        <w:t xml:space="preserve">                          </w:t>
      </w:r>
    </w:p>
    <w:p w:rsidR="00AA1C3D" w:rsidRPr="005B0000" w:rsidRDefault="00AA1C3D" w:rsidP="00B21F8A">
      <w:pPr>
        <w:spacing w:line="276" w:lineRule="auto"/>
        <w:jc w:val="center"/>
        <w:rPr>
          <w:b/>
        </w:rPr>
      </w:pPr>
      <w:r w:rsidRPr="005B0000">
        <w:rPr>
          <w:b/>
        </w:rPr>
        <w:t>DISTRETTO SOCIO - SANITARIO N° 7</w:t>
      </w:r>
    </w:p>
    <w:p w:rsidR="00AA1C3D" w:rsidRPr="005B0000" w:rsidRDefault="00AA1C3D" w:rsidP="00B21F8A">
      <w:pPr>
        <w:spacing w:line="276" w:lineRule="auto"/>
        <w:jc w:val="center"/>
      </w:pPr>
      <w:r>
        <w:t>Libero Consorzio Comunale di Agrigento</w:t>
      </w:r>
    </w:p>
    <w:p w:rsidR="00AA1C3D" w:rsidRPr="005B0000" w:rsidRDefault="00AA1C3D" w:rsidP="00B21F8A">
      <w:pPr>
        <w:spacing w:line="276" w:lineRule="auto"/>
        <w:jc w:val="center"/>
      </w:pPr>
    </w:p>
    <w:p w:rsidR="00AA1C3D" w:rsidRPr="005B0000" w:rsidRDefault="00AA1C3D" w:rsidP="00B21F8A">
      <w:pPr>
        <w:spacing w:line="276" w:lineRule="auto"/>
        <w:ind w:left="-709" w:firstLine="142"/>
        <w:jc w:val="both"/>
        <w:rPr>
          <w:spacing w:val="2"/>
        </w:rPr>
      </w:pPr>
      <w:r w:rsidRPr="005B0000">
        <w:t xml:space="preserve">   </w:t>
      </w:r>
      <w:r w:rsidRPr="00AF6585">
        <w:rPr>
          <w:noProof/>
          <w:lang w:eastAsia="it-IT"/>
        </w:rPr>
        <w:pict>
          <v:shape id="Immagine 7" o:spid="_x0000_i1027" type="#_x0000_t75" alt="Santa_Margherita_di_Belice-Stemma" style="width:39pt;height:45pt;visibility:visible">
            <v:imagedata r:id="rId7" o:title=""/>
          </v:shape>
        </w:pict>
      </w:r>
      <w:r w:rsidRPr="005B0000">
        <w:t xml:space="preserve">         </w:t>
      </w:r>
      <w:r w:rsidRPr="00AF6585">
        <w:rPr>
          <w:noProof/>
          <w:lang w:eastAsia="it-IT"/>
        </w:rPr>
        <w:pict>
          <v:shape id="Immagine 3" o:spid="_x0000_i1028" type="#_x0000_t75" alt="Menfi_%28AG%29-Stemma" style="width:30pt;height:36pt;visibility:visible">
            <v:imagedata r:id="rId8" o:title=""/>
          </v:shape>
        </w:pict>
      </w:r>
      <w:r w:rsidRPr="005B0000">
        <w:t xml:space="preserve">           </w:t>
      </w:r>
      <w:r w:rsidRPr="00AF6585">
        <w:rPr>
          <w:noProof/>
          <w:lang w:eastAsia="it-IT"/>
        </w:rPr>
        <w:pict>
          <v:shape id="Immagine 6" o:spid="_x0000_i1029" type="#_x0000_t75" alt="Sambuca_di_Sicilia-Stemma" style="width:19.5pt;height:41.25pt;visibility:visible">
            <v:imagedata r:id="rId9" o:title=""/>
          </v:shape>
        </w:pict>
      </w:r>
      <w:r w:rsidRPr="005B0000">
        <w:t xml:space="preserve">           </w:t>
      </w:r>
      <w:r w:rsidRPr="005B0000">
        <w:object w:dxaOrig="581" w:dyaOrig="901">
          <v:shape id="_x0000_i1030" type="#_x0000_t75" style="width:51pt;height:64.5pt" o:ole="" fillcolor="window">
            <v:imagedata r:id="rId10" o:title=""/>
          </v:shape>
          <o:OLEObject Type="Embed" ProgID="Word.Picture.8" ShapeID="_x0000_i1030" DrawAspect="Content" ObjectID="_1534230951" r:id="rId11"/>
        </w:object>
      </w:r>
      <w:r w:rsidRPr="005B0000">
        <w:t xml:space="preserve">          </w:t>
      </w:r>
      <w:r w:rsidRPr="00AF6585">
        <w:rPr>
          <w:noProof/>
          <w:lang w:eastAsia="it-IT"/>
        </w:rPr>
        <w:pict>
          <v:shape id="_x0000_i1031" type="#_x0000_t75" alt="Caltabellotta-Stemma" style="width:33pt;height:44.25pt;visibility:visible">
            <v:imagedata r:id="rId12" o:title=""/>
          </v:shape>
        </w:pict>
      </w:r>
      <w:r w:rsidRPr="005B0000">
        <w:t xml:space="preserve">         </w:t>
      </w:r>
      <w:r w:rsidRPr="00AF6585">
        <w:rPr>
          <w:noProof/>
          <w:lang w:eastAsia="it-IT"/>
        </w:rPr>
        <w:pict>
          <v:shape id="Immagine 4" o:spid="_x0000_i1032" type="#_x0000_t75" alt="Montevago-Stemma" style="width:34.5pt;height:45pt;visibility:visible">
            <v:imagedata r:id="rId13" o:title=""/>
          </v:shape>
        </w:pict>
      </w:r>
      <w:r w:rsidRPr="005B0000">
        <w:t xml:space="preserve">          </w:t>
      </w:r>
      <w:r w:rsidRPr="00DF1D7C">
        <w:rPr>
          <w:noProof/>
          <w:color w:val="333333"/>
          <w:lang w:eastAsia="it-IT"/>
        </w:rPr>
        <w:pict>
          <v:shape id="_x0000_i1033" type="#_x0000_t75" alt="http://www.diamondcard.it/files/cral/20100622123308-aspagrigento.jpg" style="width:53.25pt;height:37.5pt;visibility:visible">
            <v:imagedata r:id="rId14" o:title=""/>
          </v:shape>
        </w:pict>
      </w:r>
      <w:r w:rsidRPr="005B0000">
        <w:t xml:space="preserve">    </w:t>
      </w:r>
      <w:r>
        <w:t xml:space="preserve">      S.Margherita B</w:t>
      </w:r>
      <w:r w:rsidRPr="005B0000">
        <w:t xml:space="preserve">   </w:t>
      </w:r>
      <w:r>
        <w:t xml:space="preserve">   </w:t>
      </w:r>
      <w:r w:rsidRPr="005B0000">
        <w:t xml:space="preserve">   Menfi   </w:t>
      </w:r>
      <w:r>
        <w:t xml:space="preserve">       </w:t>
      </w:r>
      <w:r w:rsidRPr="005B0000">
        <w:t xml:space="preserve"> </w:t>
      </w:r>
      <w:r>
        <w:t>S</w:t>
      </w:r>
      <w:r w:rsidRPr="005B0000">
        <w:t xml:space="preserve">ambuca di Sicilia      </w:t>
      </w:r>
      <w:r w:rsidRPr="005B0000">
        <w:rPr>
          <w:b/>
        </w:rPr>
        <w:t xml:space="preserve">Sciacca </w:t>
      </w:r>
      <w:r w:rsidRPr="005B0000">
        <w:t xml:space="preserve">       </w:t>
      </w:r>
      <w:r>
        <w:t>C</w:t>
      </w:r>
      <w:r w:rsidRPr="005B0000">
        <w:t>altabellotta       Montevago         A.S.P.  Agrigento</w:t>
      </w:r>
    </w:p>
    <w:p w:rsidR="00AA1C3D" w:rsidRPr="005B0000" w:rsidRDefault="00AA1C3D" w:rsidP="00B21F8A">
      <w:pPr>
        <w:spacing w:line="276" w:lineRule="auto"/>
        <w:rPr>
          <w:b/>
        </w:rPr>
      </w:pPr>
      <w:r w:rsidRPr="005B0000">
        <w:t xml:space="preserve">                                      </w:t>
      </w:r>
      <w:r>
        <w:t xml:space="preserve">                             </w:t>
      </w:r>
      <w:r w:rsidRPr="005B0000">
        <w:t xml:space="preserve">     </w:t>
      </w:r>
      <w:r>
        <w:t xml:space="preserve">       </w:t>
      </w:r>
      <w:r w:rsidRPr="005B0000">
        <w:rPr>
          <w:b/>
        </w:rPr>
        <w:t>Capofila</w:t>
      </w:r>
    </w:p>
    <w:p w:rsidR="00AA1C3D" w:rsidRPr="005B0000" w:rsidRDefault="00AA1C3D" w:rsidP="00B21F8A">
      <w:pPr>
        <w:spacing w:line="276" w:lineRule="auto"/>
        <w:jc w:val="center"/>
      </w:pPr>
    </w:p>
    <w:p w:rsidR="00AA1C3D" w:rsidRDefault="00AA1C3D" w:rsidP="006E525E">
      <w:pPr>
        <w:jc w:val="both"/>
        <w:rPr>
          <w:rFonts w:ascii="Bookman Old Style" w:hAnsi="Bookman Old Style"/>
          <w:b/>
          <w:sz w:val="16"/>
          <w:szCs w:val="16"/>
        </w:rPr>
      </w:pPr>
    </w:p>
    <w:p w:rsidR="00AA1C3D" w:rsidRPr="005B0000" w:rsidRDefault="00AA1C3D" w:rsidP="00B21F8A">
      <w:pPr>
        <w:jc w:val="center"/>
      </w:pPr>
    </w:p>
    <w:p w:rsidR="00AA1C3D" w:rsidRPr="005B0000" w:rsidRDefault="00AA1C3D" w:rsidP="00B21F8A">
      <w:pPr>
        <w:pBdr>
          <w:top w:val="single" w:sz="4" w:space="3" w:color="auto"/>
        </w:pBdr>
        <w:jc w:val="center"/>
        <w:rPr>
          <w:b/>
        </w:rPr>
      </w:pPr>
      <w:r>
        <w:rPr>
          <w:b/>
        </w:rPr>
        <w:t>3</w:t>
      </w:r>
      <w:r w:rsidRPr="005B0000">
        <w:rPr>
          <w:b/>
        </w:rPr>
        <w:t>° SETTORE</w:t>
      </w:r>
    </w:p>
    <w:p w:rsidR="00AA1C3D" w:rsidRPr="005B0000" w:rsidRDefault="00AA1C3D" w:rsidP="00B21F8A">
      <w:pPr>
        <w:pBdr>
          <w:top w:val="single" w:sz="4" w:space="3" w:color="auto"/>
        </w:pBdr>
        <w:jc w:val="center"/>
      </w:pPr>
      <w:r w:rsidRPr="005B0000">
        <w:t xml:space="preserve">( Tel. 0925 – 20111 – </w:t>
      </w:r>
      <w:r>
        <w:t>81054</w:t>
      </w:r>
      <w:r w:rsidRPr="005B0000">
        <w:t xml:space="preserve">   Sito web: www.comune.sciacca.ag.it )</w:t>
      </w:r>
    </w:p>
    <w:p w:rsidR="00AA1C3D" w:rsidRPr="005B0000" w:rsidRDefault="00AA1C3D" w:rsidP="00B21F8A">
      <w:pPr>
        <w:pBdr>
          <w:top w:val="single" w:sz="4" w:space="3" w:color="auto"/>
        </w:pBdr>
        <w:jc w:val="center"/>
        <w:rPr>
          <w:b/>
        </w:rPr>
      </w:pPr>
    </w:p>
    <w:p w:rsidR="00AA1C3D" w:rsidRDefault="00AA1C3D" w:rsidP="006E525E">
      <w:pPr>
        <w:jc w:val="both"/>
        <w:rPr>
          <w:rFonts w:ascii="Bookman Old Style" w:hAnsi="Bookman Old Style"/>
          <w:b/>
          <w:sz w:val="16"/>
          <w:szCs w:val="16"/>
        </w:rPr>
      </w:pPr>
    </w:p>
    <w:p w:rsidR="00AA1C3D" w:rsidRPr="0011325E" w:rsidRDefault="00AA1C3D" w:rsidP="006E525E">
      <w:pPr>
        <w:jc w:val="both"/>
        <w:rPr>
          <w:rFonts w:ascii="Times New Roman" w:hAnsi="Times New Roman"/>
          <w:noProof/>
          <w:color w:val="17365D"/>
          <w:sz w:val="24"/>
          <w:szCs w:val="24"/>
        </w:rPr>
      </w:pPr>
    </w:p>
    <w:p w:rsidR="00AA1C3D" w:rsidRPr="00AA2ABD" w:rsidRDefault="00AA1C3D" w:rsidP="001739AF">
      <w:pPr>
        <w:autoSpaceDE w:val="0"/>
        <w:autoSpaceDN w:val="0"/>
        <w:adjustRightInd w:val="0"/>
        <w:jc w:val="center"/>
        <w:rPr>
          <w:rFonts w:cs="DejaVuSans-Bold"/>
          <w:b/>
          <w:bCs/>
          <w:sz w:val="24"/>
          <w:szCs w:val="24"/>
        </w:rPr>
      </w:pPr>
      <w:r w:rsidRPr="00AA2ABD">
        <w:rPr>
          <w:rFonts w:cs="DejaVuSans-Bold"/>
          <w:b/>
          <w:bCs/>
          <w:sz w:val="24"/>
          <w:szCs w:val="24"/>
        </w:rPr>
        <w:t>AVVISO PUBBLICO</w:t>
      </w:r>
    </w:p>
    <w:p w:rsidR="00AA1C3D" w:rsidRPr="00AA2ABD" w:rsidRDefault="00AA1C3D" w:rsidP="006E525E">
      <w:pPr>
        <w:autoSpaceDE w:val="0"/>
        <w:autoSpaceDN w:val="0"/>
        <w:adjustRightInd w:val="0"/>
        <w:jc w:val="both"/>
        <w:rPr>
          <w:rFonts w:cs="DejaVuSans-Bold"/>
          <w:b/>
          <w:bCs/>
          <w:sz w:val="24"/>
          <w:szCs w:val="24"/>
        </w:rPr>
      </w:pPr>
      <w:r w:rsidRPr="00AA2ABD">
        <w:rPr>
          <w:rFonts w:cs="DejaVuSans-Bold"/>
          <w:b/>
          <w:bCs/>
          <w:sz w:val="24"/>
          <w:szCs w:val="24"/>
        </w:rPr>
        <w:t xml:space="preserve">PER L’ ACCESSO AL PROGRAMMA SIA (Sostegno per l’inclusione attiva) DA PARTE DEI CITTADINI IN CONDIZIONE DI DISAGIO ECONOMICO </w:t>
      </w:r>
    </w:p>
    <w:p w:rsidR="00AA1C3D" w:rsidRPr="00AA2ABD" w:rsidRDefault="00AA1C3D" w:rsidP="006E525E">
      <w:pPr>
        <w:autoSpaceDE w:val="0"/>
        <w:autoSpaceDN w:val="0"/>
        <w:adjustRightInd w:val="0"/>
        <w:jc w:val="both"/>
        <w:rPr>
          <w:rFonts w:cs="Arial-Black"/>
          <w:sz w:val="24"/>
          <w:szCs w:val="24"/>
        </w:rPr>
      </w:pPr>
    </w:p>
    <w:p w:rsidR="00AA1C3D" w:rsidRPr="00AA2ABD" w:rsidRDefault="00AA1C3D" w:rsidP="006E525E">
      <w:pPr>
        <w:autoSpaceDE w:val="0"/>
        <w:autoSpaceDN w:val="0"/>
        <w:adjustRightInd w:val="0"/>
        <w:jc w:val="both"/>
        <w:rPr>
          <w:rFonts w:cs="DejaVuSans-Bold"/>
          <w:bCs/>
          <w:sz w:val="24"/>
          <w:szCs w:val="24"/>
        </w:rPr>
      </w:pPr>
      <w:r w:rsidRPr="00AA2ABD">
        <w:rPr>
          <w:rFonts w:cs="DejaVuSans-Bold"/>
          <w:bCs/>
          <w:sz w:val="24"/>
          <w:szCs w:val="24"/>
        </w:rPr>
        <w:t xml:space="preserve">L’articolo 1 della legge 28 dicembre 2015, n. 208 (Legge di stabilità 2016), al comma 386 ha istituito presso il Ministero del Lavoro e delle Politiche Sociali un apposito fondo, al fine di garantire l’attuazione del Piano nazionale per la lotta alla povertà e all’esclusione sociale. </w:t>
      </w:r>
    </w:p>
    <w:p w:rsidR="00AA1C3D" w:rsidRPr="00AA2ABD" w:rsidRDefault="00AA1C3D" w:rsidP="006E525E">
      <w:pPr>
        <w:autoSpaceDE w:val="0"/>
        <w:autoSpaceDN w:val="0"/>
        <w:adjustRightInd w:val="0"/>
        <w:jc w:val="both"/>
        <w:rPr>
          <w:rFonts w:cs="DejaVuSans-Bold"/>
          <w:bCs/>
          <w:sz w:val="24"/>
          <w:szCs w:val="24"/>
        </w:rPr>
      </w:pPr>
      <w:r w:rsidRPr="00AA2ABD">
        <w:rPr>
          <w:rFonts w:cs="DejaVuSans-Bold"/>
          <w:bCs/>
          <w:sz w:val="24"/>
          <w:szCs w:val="24"/>
        </w:rPr>
        <w:t xml:space="preserve">L’intervento estende a livello nazionale, con alcune peculiarità, la Carta acquisti sperimentale di cui all’art. 60 del decreto legge 9 febbraio 2012, n. 5, già attuata in via sperimentale nei 12 Comuni italiani con più di 250.000 abitanti. </w:t>
      </w:r>
    </w:p>
    <w:p w:rsidR="00AA1C3D" w:rsidRPr="00AA2ABD" w:rsidRDefault="00AA1C3D" w:rsidP="006E525E">
      <w:pPr>
        <w:autoSpaceDE w:val="0"/>
        <w:autoSpaceDN w:val="0"/>
        <w:adjustRightInd w:val="0"/>
        <w:jc w:val="both"/>
        <w:rPr>
          <w:rFonts w:cs="DejaVuSans-Bold"/>
          <w:bCs/>
          <w:sz w:val="24"/>
          <w:szCs w:val="24"/>
        </w:rPr>
      </w:pPr>
      <w:r w:rsidRPr="00AA2ABD">
        <w:rPr>
          <w:rFonts w:cs="DejaVuSans-Bold"/>
          <w:bCs/>
          <w:sz w:val="24"/>
          <w:szCs w:val="24"/>
        </w:rPr>
        <w:t>Per procedere nel corso del corrente anno all’avvio dell’intervento su tutto il territorio nazionale, il Decreto 26 maggio 2016, pubblicato nella Gazzetta Ufficiale n. 166 del 18 luglio 2016, ha disciplinato l’attivazione del nuovo servizio, fissandone le linee guida nonché i rinnovati criteri e le procedure operative.</w:t>
      </w:r>
    </w:p>
    <w:p w:rsidR="00AA1C3D" w:rsidRPr="00AA2ABD" w:rsidRDefault="00AA1C3D" w:rsidP="006E525E">
      <w:pPr>
        <w:autoSpaceDE w:val="0"/>
        <w:autoSpaceDN w:val="0"/>
        <w:adjustRightInd w:val="0"/>
        <w:jc w:val="both"/>
        <w:rPr>
          <w:rFonts w:cs="TimesNewRomanPSMT"/>
          <w:sz w:val="24"/>
          <w:szCs w:val="24"/>
        </w:rPr>
      </w:pPr>
    </w:p>
    <w:p w:rsidR="00AA1C3D" w:rsidRPr="00AA2ABD" w:rsidRDefault="00AA1C3D" w:rsidP="006E525E">
      <w:pPr>
        <w:autoSpaceDE w:val="0"/>
        <w:autoSpaceDN w:val="0"/>
        <w:adjustRightInd w:val="0"/>
        <w:jc w:val="both"/>
        <w:rPr>
          <w:rFonts w:cs="DejaVuSans-Bold"/>
          <w:b/>
          <w:bCs/>
          <w:sz w:val="24"/>
          <w:szCs w:val="24"/>
        </w:rPr>
      </w:pPr>
      <w:r w:rsidRPr="00AA2ABD">
        <w:rPr>
          <w:rFonts w:cs="DejaVuSans-Bold"/>
          <w:b/>
          <w:bCs/>
          <w:sz w:val="24"/>
          <w:szCs w:val="24"/>
        </w:rPr>
        <w:t>CHE COS’È E COME FUNZIONA</w:t>
      </w:r>
    </w:p>
    <w:p w:rsidR="00AA1C3D" w:rsidRPr="00AA2ABD" w:rsidRDefault="00AA1C3D" w:rsidP="00AA2ABD">
      <w:pPr>
        <w:autoSpaceDE w:val="0"/>
        <w:autoSpaceDN w:val="0"/>
        <w:adjustRightInd w:val="0"/>
        <w:jc w:val="both"/>
        <w:rPr>
          <w:rFonts w:cs="DejaVuSans-Bold"/>
          <w:bCs/>
          <w:sz w:val="24"/>
          <w:szCs w:val="24"/>
        </w:rPr>
      </w:pPr>
      <w:r w:rsidRPr="00AA2ABD">
        <w:rPr>
          <w:rFonts w:cs="DejaVuSans-Bold"/>
          <w:bCs/>
          <w:sz w:val="24"/>
          <w:szCs w:val="24"/>
        </w:rPr>
        <w:t>Il Sostegno per l’Inclusione Attiva (SIA) è una misura di contrasto alla povertà che prevede l'erogazione di un sussidio economico alle famiglie in condizioni economiche disagiate, nelle quali siano presenti persone minorenni, figli disabili o una donna in stato di gravidanza accertata; il sussidio è subordinato all'adesione ad un progetto personalizzato di attivazione sociale e lavorativa.</w:t>
      </w:r>
    </w:p>
    <w:p w:rsidR="00AA1C3D" w:rsidRPr="00AA2ABD" w:rsidRDefault="00AA1C3D" w:rsidP="00AA2ABD">
      <w:pPr>
        <w:autoSpaceDE w:val="0"/>
        <w:autoSpaceDN w:val="0"/>
        <w:adjustRightInd w:val="0"/>
        <w:jc w:val="both"/>
        <w:rPr>
          <w:rFonts w:cs="DejaVuSans"/>
          <w:sz w:val="24"/>
          <w:szCs w:val="24"/>
        </w:rPr>
      </w:pPr>
      <w:r w:rsidRPr="00AA2ABD">
        <w:rPr>
          <w:rFonts w:cs="DejaVuSans-Bold"/>
          <w:bCs/>
          <w:sz w:val="24"/>
          <w:szCs w:val="24"/>
        </w:rPr>
        <w:t>Il progetto viene predisposto dai servizi sociali del Comune, in rete con i servizi per l’impiego, i servizi sanitari e le scuole, nonché con soggetti privati attivi nell’ambito degli interventi di contrasto alla povertà, con particolare riferimento agli enti non profit. Il progetto coinvolge tutti i componenti del nucleo familiare e prevede specifici impegni per</w:t>
      </w:r>
      <w:r>
        <w:rPr>
          <w:rFonts w:cs="DejaVuSans-Bold"/>
          <w:bCs/>
          <w:sz w:val="24"/>
          <w:szCs w:val="24"/>
        </w:rPr>
        <w:t xml:space="preserve"> </w:t>
      </w:r>
      <w:r w:rsidRPr="00AA2ABD">
        <w:rPr>
          <w:rFonts w:cs="DejaVuSans-Bold"/>
          <w:bCs/>
          <w:sz w:val="24"/>
          <w:szCs w:val="24"/>
        </w:rPr>
        <w:t xml:space="preserve">adulti e bambini, che vengono individuati sulla base di una valutazione globale delle problematiche e dei bisogni. Le attività possono riguardare i contatti con i servizi, la ricerca attiva di lavoro, l’adesione a progetti di </w:t>
      </w:r>
      <w:r w:rsidRPr="00AA2ABD">
        <w:rPr>
          <w:rFonts w:cs="DejaVuSans"/>
          <w:sz w:val="24"/>
          <w:szCs w:val="24"/>
        </w:rPr>
        <w:t>formazione, la frequenza e l’impegno scolastico, la prevenzione e la tutela della salute. L’obiettivo è aiutare le famiglie a superare la condizione di</w:t>
      </w:r>
      <w:r>
        <w:rPr>
          <w:rFonts w:cs="DejaVuSans"/>
          <w:sz w:val="24"/>
          <w:szCs w:val="24"/>
        </w:rPr>
        <w:t xml:space="preserve"> </w:t>
      </w:r>
      <w:r w:rsidRPr="00AA2ABD">
        <w:rPr>
          <w:rFonts w:cs="DejaVuSans"/>
          <w:sz w:val="24"/>
          <w:szCs w:val="24"/>
        </w:rPr>
        <w:t>povertà e riconquistare gradualmente l’autonomia.</w:t>
      </w:r>
    </w:p>
    <w:p w:rsidR="00AA1C3D" w:rsidRPr="00AA2ABD" w:rsidRDefault="00AA1C3D" w:rsidP="006E525E">
      <w:pPr>
        <w:autoSpaceDE w:val="0"/>
        <w:autoSpaceDN w:val="0"/>
        <w:adjustRightInd w:val="0"/>
        <w:jc w:val="both"/>
        <w:rPr>
          <w:rFonts w:cs="DejaVuSans-Bold"/>
          <w:b/>
          <w:bCs/>
          <w:sz w:val="24"/>
          <w:szCs w:val="24"/>
        </w:rPr>
      </w:pPr>
    </w:p>
    <w:p w:rsidR="00AA1C3D" w:rsidRPr="00AA2ABD" w:rsidRDefault="00AA1C3D" w:rsidP="006E525E">
      <w:pPr>
        <w:autoSpaceDE w:val="0"/>
        <w:autoSpaceDN w:val="0"/>
        <w:adjustRightInd w:val="0"/>
        <w:jc w:val="both"/>
        <w:rPr>
          <w:rFonts w:cs="DejaVuSans-Bold"/>
          <w:b/>
          <w:bCs/>
          <w:sz w:val="24"/>
          <w:szCs w:val="24"/>
        </w:rPr>
      </w:pPr>
      <w:r w:rsidRPr="00AA2ABD">
        <w:rPr>
          <w:rFonts w:cs="DejaVuSans-Bold"/>
          <w:b/>
          <w:bCs/>
          <w:sz w:val="24"/>
          <w:szCs w:val="24"/>
        </w:rPr>
        <w:t>BENEFICIARI</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Il SIA nel 2016 sarà erogato ai nuclei familiari in possesso dei seguenti requisiti:</w:t>
      </w:r>
    </w:p>
    <w:p w:rsidR="00AA1C3D" w:rsidRPr="00AA2ABD" w:rsidRDefault="00AA1C3D" w:rsidP="004357DF">
      <w:pPr>
        <w:pStyle w:val="ListParagraph"/>
        <w:numPr>
          <w:ilvl w:val="0"/>
          <w:numId w:val="1"/>
        </w:numPr>
        <w:autoSpaceDE w:val="0"/>
        <w:autoSpaceDN w:val="0"/>
        <w:adjustRightInd w:val="0"/>
        <w:jc w:val="both"/>
        <w:rPr>
          <w:rFonts w:cs="DejaVuSans-Bold"/>
          <w:b/>
          <w:bCs/>
          <w:sz w:val="24"/>
          <w:szCs w:val="24"/>
        </w:rPr>
      </w:pPr>
      <w:r w:rsidRPr="00AA2ABD">
        <w:rPr>
          <w:rFonts w:cs="DejaVuSans-Bold"/>
          <w:b/>
          <w:bCs/>
          <w:sz w:val="24"/>
          <w:szCs w:val="24"/>
        </w:rPr>
        <w:t>requisiti del richiedente (componente del nucleo familiare):</w:t>
      </w:r>
    </w:p>
    <w:p w:rsidR="00AA1C3D" w:rsidRPr="00AA2ABD" w:rsidRDefault="00AA1C3D" w:rsidP="004357DF">
      <w:pPr>
        <w:pStyle w:val="ListParagraph"/>
        <w:numPr>
          <w:ilvl w:val="0"/>
          <w:numId w:val="3"/>
        </w:numPr>
        <w:autoSpaceDE w:val="0"/>
        <w:autoSpaceDN w:val="0"/>
        <w:adjustRightInd w:val="0"/>
        <w:jc w:val="both"/>
        <w:rPr>
          <w:rFonts w:cs="DejaVuSans"/>
          <w:sz w:val="24"/>
          <w:szCs w:val="24"/>
        </w:rPr>
      </w:pPr>
      <w:r w:rsidRPr="00AA2ABD">
        <w:rPr>
          <w:rFonts w:cs="DejaVuSans"/>
          <w:sz w:val="24"/>
          <w:szCs w:val="24"/>
        </w:rPr>
        <w:t>essere cittadino italiano o comunitario ovvero familiare di cittadino italiano o comunitario non avente la cittadinanza di uno Stato membro che sia titolare di diritto di soggiorno o del diritto di soggiorno permanente ovvero cittadino straniero in possesso del permesso di soggiorno CE per soggiornanti di lungo periodo; essere residente in Italia da almeno due anni (al momento della presentazione della domanda);</w:t>
      </w:r>
    </w:p>
    <w:p w:rsidR="00AA1C3D" w:rsidRPr="00AA2ABD" w:rsidRDefault="00AA1C3D" w:rsidP="004357DF">
      <w:pPr>
        <w:pStyle w:val="ListParagraph"/>
        <w:numPr>
          <w:ilvl w:val="0"/>
          <w:numId w:val="1"/>
        </w:numPr>
        <w:autoSpaceDE w:val="0"/>
        <w:autoSpaceDN w:val="0"/>
        <w:adjustRightInd w:val="0"/>
        <w:jc w:val="both"/>
        <w:rPr>
          <w:rFonts w:cs="DejaVuSans"/>
          <w:sz w:val="24"/>
          <w:szCs w:val="24"/>
        </w:rPr>
      </w:pPr>
      <w:r w:rsidRPr="00AA2ABD">
        <w:rPr>
          <w:rFonts w:cs="DejaVuSans-Bold"/>
          <w:b/>
          <w:bCs/>
          <w:sz w:val="24"/>
          <w:szCs w:val="24"/>
        </w:rPr>
        <w:t>requisiti familiari</w:t>
      </w:r>
      <w:r w:rsidRPr="00AA2ABD">
        <w:rPr>
          <w:rFonts w:cs="DejaVuSans"/>
          <w:sz w:val="24"/>
          <w:szCs w:val="24"/>
        </w:rPr>
        <w:t xml:space="preserve">: </w:t>
      </w:r>
    </w:p>
    <w:p w:rsidR="00AA1C3D" w:rsidRPr="00AA2ABD" w:rsidRDefault="00AA1C3D" w:rsidP="004357DF">
      <w:pPr>
        <w:pStyle w:val="ListParagraph"/>
        <w:numPr>
          <w:ilvl w:val="0"/>
          <w:numId w:val="3"/>
        </w:numPr>
        <w:autoSpaceDE w:val="0"/>
        <w:autoSpaceDN w:val="0"/>
        <w:adjustRightInd w:val="0"/>
        <w:jc w:val="both"/>
        <w:rPr>
          <w:rFonts w:cs="DejaVuSans"/>
          <w:sz w:val="24"/>
          <w:szCs w:val="24"/>
        </w:rPr>
      </w:pPr>
      <w:r w:rsidRPr="00AA2ABD">
        <w:rPr>
          <w:rFonts w:cs="DejaVuSans"/>
          <w:sz w:val="24"/>
          <w:szCs w:val="24"/>
        </w:rPr>
        <w:t>presenza di almeno un componente di minore età o di un figlio disabile, ovvero donna in stato di gravidanza accertata</w:t>
      </w:r>
    </w:p>
    <w:p w:rsidR="00AA1C3D" w:rsidRPr="00AA2ABD" w:rsidRDefault="00AA1C3D" w:rsidP="00AA2ABD">
      <w:pPr>
        <w:pStyle w:val="ListParagraph"/>
        <w:numPr>
          <w:ilvl w:val="0"/>
          <w:numId w:val="2"/>
        </w:numPr>
        <w:autoSpaceDE w:val="0"/>
        <w:autoSpaceDN w:val="0"/>
        <w:adjustRightInd w:val="0"/>
        <w:ind w:left="0" w:firstLine="426"/>
        <w:jc w:val="both"/>
        <w:rPr>
          <w:rFonts w:cs="DejaVuSans"/>
          <w:sz w:val="24"/>
          <w:szCs w:val="24"/>
        </w:rPr>
      </w:pPr>
      <w:r w:rsidRPr="00AA2ABD">
        <w:rPr>
          <w:rFonts w:cs="ArialMT"/>
          <w:sz w:val="24"/>
          <w:szCs w:val="24"/>
        </w:rPr>
        <w:t xml:space="preserve"> </w:t>
      </w:r>
      <w:r w:rsidRPr="00AA2ABD">
        <w:rPr>
          <w:rFonts w:cs="DejaVuSans-Bold"/>
          <w:b/>
          <w:bCs/>
          <w:sz w:val="24"/>
          <w:szCs w:val="24"/>
        </w:rPr>
        <w:t>requisiti economici</w:t>
      </w:r>
      <w:r w:rsidRPr="00AA2ABD">
        <w:rPr>
          <w:rFonts w:cs="DejaVuSans"/>
          <w:sz w:val="24"/>
          <w:szCs w:val="24"/>
        </w:rPr>
        <w:t>: ISEE inferiore o uguale ai 3.000 euro.</w:t>
      </w:r>
    </w:p>
    <w:p w:rsidR="00AA1C3D" w:rsidRPr="00AA2ABD" w:rsidRDefault="00AA1C3D" w:rsidP="006E525E">
      <w:pPr>
        <w:autoSpaceDE w:val="0"/>
        <w:autoSpaceDN w:val="0"/>
        <w:adjustRightInd w:val="0"/>
        <w:jc w:val="both"/>
        <w:rPr>
          <w:rFonts w:cs="DejaVuSans-Bold"/>
          <w:b/>
          <w:bCs/>
          <w:sz w:val="24"/>
          <w:szCs w:val="24"/>
        </w:rPr>
      </w:pPr>
    </w:p>
    <w:p w:rsidR="00AA1C3D" w:rsidRPr="00AA2ABD" w:rsidRDefault="00AA1C3D" w:rsidP="006E525E">
      <w:pPr>
        <w:autoSpaceDE w:val="0"/>
        <w:autoSpaceDN w:val="0"/>
        <w:adjustRightInd w:val="0"/>
        <w:jc w:val="both"/>
        <w:rPr>
          <w:rFonts w:cs="DejaVuSans-Bold"/>
          <w:b/>
          <w:bCs/>
          <w:sz w:val="24"/>
          <w:szCs w:val="24"/>
        </w:rPr>
      </w:pPr>
      <w:r w:rsidRPr="00AA2ABD">
        <w:rPr>
          <w:rFonts w:cs="DejaVuSans-Bold"/>
          <w:b/>
          <w:bCs/>
          <w:sz w:val="24"/>
          <w:szCs w:val="24"/>
        </w:rPr>
        <w:t>ALTRI REQUISITI PREVISTI A PENA DI ESCLUSIONE</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Per accedere al SIA è necessario inoltre che nessun componente il nucleo sia già beneficiario della NASPI, dell’ASDI, o di altri strumenti di sostegno al reddito dei disoccupati o della carta acquisti sperimentale; che nessun componente il nucleo riceva già trattamenti superiori a 600</w:t>
      </w:r>
      <w:r>
        <w:rPr>
          <w:rFonts w:cs="DejaVuSans"/>
          <w:sz w:val="24"/>
          <w:szCs w:val="24"/>
        </w:rPr>
        <w:t>,00</w:t>
      </w:r>
      <w:r w:rsidRPr="00AA2ABD">
        <w:rPr>
          <w:rFonts w:cs="DejaVuSans"/>
          <w:sz w:val="24"/>
          <w:szCs w:val="24"/>
        </w:rPr>
        <w:t xml:space="preserve"> euro mensili; che nessun componente il nucleo familiare abbia acquistato un’automobile nuova (immatricolata negli ultimi 12 mesi) o possieda un’automobile di cilindrata superiore a 1.300 cc o un motoveicolo di cilindrata superiore a 250 cc immatricolati negli ultimi 36 mesi, che il nucleo familiare richiedente aderisca al progetto personalizzato di attivazione sociale e lavorativa di cui sopra.</w:t>
      </w:r>
    </w:p>
    <w:p w:rsidR="00AA1C3D" w:rsidRPr="00AA2ABD" w:rsidRDefault="00AA1C3D" w:rsidP="006E525E">
      <w:pPr>
        <w:autoSpaceDE w:val="0"/>
        <w:autoSpaceDN w:val="0"/>
        <w:adjustRightInd w:val="0"/>
        <w:jc w:val="both"/>
        <w:rPr>
          <w:rFonts w:cs="DejaVuSans"/>
          <w:sz w:val="24"/>
          <w:szCs w:val="24"/>
        </w:rPr>
      </w:pPr>
    </w:p>
    <w:p w:rsidR="00AA1C3D" w:rsidRPr="00AA2ABD" w:rsidRDefault="00AA1C3D" w:rsidP="006E525E">
      <w:pPr>
        <w:autoSpaceDE w:val="0"/>
        <w:autoSpaceDN w:val="0"/>
        <w:adjustRightInd w:val="0"/>
        <w:jc w:val="both"/>
        <w:rPr>
          <w:rFonts w:cs="DejaVuSans-Bold"/>
          <w:b/>
          <w:bCs/>
          <w:sz w:val="24"/>
          <w:szCs w:val="24"/>
        </w:rPr>
      </w:pPr>
      <w:r w:rsidRPr="00AA2ABD">
        <w:rPr>
          <w:rFonts w:cs="DejaVuSans-Bold"/>
          <w:b/>
          <w:bCs/>
          <w:sz w:val="24"/>
          <w:szCs w:val="24"/>
        </w:rPr>
        <w:t>AVVERTENZA</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I requisiti di accesso di cui sopra saranno verificati sulla base dell’ISEE in corso di validità di cui il richiedente al momento della presentazione della istanza dovrà essere in possesso e dovranno essere mantenuti per tutta la durata della erogazione del beneficio.</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In caso di nascita o decesso di un componente, rispetto a quanto dichiarato a fini ISEE, i nuclei familiari sono tenuti a presentare entro due mesi dall’evento una dichiarazione ISEE aggiornata. In caso di altre variazioni nella composizione del nucleo familiare, il beneficio decade dal bimestre successivo alla variazione e la richiesta del beneficio può essere eventualmente ripresentata per il nuovo nucleo.</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In caso di variazione della situazione lavorativa i componenti del nucleo familiare per i quali la situazione è variata sono tenuti, a pena di decadenza dal beneficio, a comunicare all’INPS il reddito annuo previsto, entro trenta giorni dall’inizio dell’attività e comunque secondo le modalità di cui agli articoli 9, comma 2 e 10 comma 1 del decreto legislativo 4 marzo 2015, n. 22.</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Le medesime comunicazioni sono necessarie all’atto della richiesta del beneficio in caso vi siano componenti del nucleo familiare in possesso di redditi da lavoro non rilevati nell’ISEE in corso di validità utilizzato per l’accesso al beneficio.</w:t>
      </w:r>
    </w:p>
    <w:p w:rsidR="00AA1C3D" w:rsidRPr="00AA2ABD" w:rsidRDefault="00AA1C3D" w:rsidP="006E525E">
      <w:pPr>
        <w:autoSpaceDE w:val="0"/>
        <w:autoSpaceDN w:val="0"/>
        <w:adjustRightInd w:val="0"/>
        <w:jc w:val="both"/>
        <w:rPr>
          <w:rFonts w:cs="DejaVuSans"/>
          <w:sz w:val="24"/>
          <w:szCs w:val="24"/>
        </w:rPr>
      </w:pPr>
    </w:p>
    <w:p w:rsidR="00AA1C3D" w:rsidRPr="00AA2ABD" w:rsidRDefault="00AA1C3D" w:rsidP="006E525E">
      <w:pPr>
        <w:autoSpaceDE w:val="0"/>
        <w:autoSpaceDN w:val="0"/>
        <w:adjustRightInd w:val="0"/>
        <w:jc w:val="both"/>
        <w:rPr>
          <w:rFonts w:cs="DejaVuSans-Bold"/>
          <w:b/>
          <w:bCs/>
          <w:sz w:val="24"/>
          <w:szCs w:val="24"/>
        </w:rPr>
      </w:pPr>
      <w:r w:rsidRPr="00AA2ABD">
        <w:rPr>
          <w:rFonts w:cs="DejaVuSans-Bold"/>
          <w:b/>
          <w:bCs/>
          <w:sz w:val="24"/>
          <w:szCs w:val="24"/>
        </w:rPr>
        <w:t>VALUTAZIONE DEL BISOGNO</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 xml:space="preserve">Sarà effettuata </w:t>
      </w:r>
      <w:r w:rsidRPr="00AA2ABD">
        <w:rPr>
          <w:rFonts w:cs="DejaVuSans-Bold"/>
          <w:b/>
          <w:bCs/>
          <w:sz w:val="24"/>
          <w:szCs w:val="24"/>
        </w:rPr>
        <w:t xml:space="preserve">direttamente da INPS </w:t>
      </w:r>
      <w:r w:rsidRPr="00AA2ABD">
        <w:rPr>
          <w:rFonts w:cs="DejaVuSans"/>
          <w:sz w:val="24"/>
          <w:szCs w:val="24"/>
        </w:rPr>
        <w:t>mediante una scala di valutazione multidimensionale che tiene conto dei carichi familiari, della situazione economica e della situazione lavorativa, in base alla quale il nucleo familiare richiedente deve ottenere un punteggio uguale o superiore a 45.</w:t>
      </w:r>
    </w:p>
    <w:p w:rsidR="00AA1C3D" w:rsidRPr="00AA2ABD" w:rsidRDefault="00AA1C3D" w:rsidP="006E525E">
      <w:pPr>
        <w:autoSpaceDE w:val="0"/>
        <w:autoSpaceDN w:val="0"/>
        <w:adjustRightInd w:val="0"/>
        <w:jc w:val="both"/>
        <w:rPr>
          <w:rFonts w:cs="DejaVuSans"/>
          <w:sz w:val="24"/>
          <w:szCs w:val="24"/>
        </w:rPr>
      </w:pPr>
    </w:p>
    <w:p w:rsidR="00AA1C3D" w:rsidRPr="00AA2ABD" w:rsidRDefault="00AA1C3D" w:rsidP="006E525E">
      <w:pPr>
        <w:autoSpaceDE w:val="0"/>
        <w:autoSpaceDN w:val="0"/>
        <w:adjustRightInd w:val="0"/>
        <w:jc w:val="both"/>
        <w:rPr>
          <w:rFonts w:cs="DejaVuSans-Bold"/>
          <w:b/>
          <w:bCs/>
          <w:sz w:val="24"/>
          <w:szCs w:val="24"/>
        </w:rPr>
      </w:pPr>
      <w:r w:rsidRPr="00AA2ABD">
        <w:rPr>
          <w:rFonts w:cs="DejaVuSans-Bold"/>
          <w:b/>
          <w:bCs/>
          <w:sz w:val="24"/>
          <w:szCs w:val="24"/>
        </w:rPr>
        <w:t>MODALITA’ DI EROGAZIONE</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Il sostegno economico verrà erogato attraverso l’attribuzione di una carta di pagamento elettronica, utilizzabile per l’acquisto di beni di prima necessità.</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Dall’ammontare del beneficio vengono dedotte eventuali somme erogate ai titolari di altre misure di sostegno al reddito (Carta acquisti ordinaria, incremento del Bonus bebé). Per le famiglie che soddisfano i requisiti per accedere all’Assegno per il nucleo familiare con almeno tre figli minori, il beneficio sarà corrispondentemente ridotto a prescindere dall’effettiva</w:t>
      </w:r>
      <w:r>
        <w:rPr>
          <w:rFonts w:cs="DejaVuSans"/>
          <w:sz w:val="24"/>
          <w:szCs w:val="24"/>
        </w:rPr>
        <w:t xml:space="preserve"> </w:t>
      </w:r>
      <w:r w:rsidRPr="00AA2ABD">
        <w:rPr>
          <w:rFonts w:cs="DejaVuSans"/>
          <w:sz w:val="24"/>
          <w:szCs w:val="24"/>
        </w:rPr>
        <w:t>richiesta dell’assegno.</w:t>
      </w:r>
    </w:p>
    <w:p w:rsidR="00AA1C3D" w:rsidRPr="00AA2ABD" w:rsidRDefault="00AA1C3D" w:rsidP="006E525E">
      <w:pPr>
        <w:autoSpaceDE w:val="0"/>
        <w:autoSpaceDN w:val="0"/>
        <w:adjustRightInd w:val="0"/>
        <w:jc w:val="both"/>
        <w:rPr>
          <w:rFonts w:cs="DejaVuSans"/>
          <w:sz w:val="24"/>
          <w:szCs w:val="24"/>
        </w:rPr>
      </w:pPr>
    </w:p>
    <w:p w:rsidR="00AA1C3D" w:rsidRPr="00AA2ABD" w:rsidRDefault="00AA1C3D" w:rsidP="006E525E">
      <w:pPr>
        <w:autoSpaceDE w:val="0"/>
        <w:autoSpaceDN w:val="0"/>
        <w:adjustRightInd w:val="0"/>
        <w:jc w:val="both"/>
        <w:rPr>
          <w:rFonts w:cs="DejaVuSans-Bold"/>
          <w:b/>
          <w:bCs/>
          <w:sz w:val="24"/>
          <w:szCs w:val="24"/>
        </w:rPr>
      </w:pPr>
      <w:r w:rsidRPr="00AA2ABD">
        <w:rPr>
          <w:rFonts w:cs="DejaVuSans-Bold"/>
          <w:b/>
          <w:bCs/>
          <w:sz w:val="24"/>
          <w:szCs w:val="24"/>
        </w:rPr>
        <w:t>MODALITA’ DI PRESENTAZIONE DELLE ISTANZE</w:t>
      </w:r>
    </w:p>
    <w:p w:rsidR="00AA1C3D" w:rsidRPr="00AA2ABD" w:rsidRDefault="00AA1C3D" w:rsidP="00D03706">
      <w:pPr>
        <w:autoSpaceDE w:val="0"/>
        <w:autoSpaceDN w:val="0"/>
        <w:adjustRightInd w:val="0"/>
        <w:jc w:val="both"/>
        <w:rPr>
          <w:rFonts w:cs="DejaVuSans"/>
          <w:sz w:val="24"/>
          <w:szCs w:val="24"/>
        </w:rPr>
      </w:pPr>
      <w:r w:rsidRPr="00AA2ABD">
        <w:rPr>
          <w:rFonts w:cs="DejaVuSans"/>
          <w:sz w:val="24"/>
          <w:szCs w:val="24"/>
        </w:rPr>
        <w:t xml:space="preserve">Le istanze dovranno essere compilate </w:t>
      </w:r>
      <w:r w:rsidRPr="00AA2ABD">
        <w:rPr>
          <w:rFonts w:cs="DejaVuSans-Bold"/>
          <w:b/>
          <w:bCs/>
          <w:sz w:val="24"/>
          <w:szCs w:val="24"/>
        </w:rPr>
        <w:t>esclusivamente su un modulo già pre-stampato dall’ INPS</w:t>
      </w:r>
      <w:r w:rsidRPr="00AA2ABD">
        <w:rPr>
          <w:rFonts w:cs="DejaVuSans"/>
          <w:sz w:val="24"/>
          <w:szCs w:val="24"/>
        </w:rPr>
        <w:t xml:space="preserve"> che potrà essere ritirato presso gli uffici </w:t>
      </w:r>
      <w:r>
        <w:rPr>
          <w:rFonts w:cs="DejaVuSans"/>
          <w:sz w:val="24"/>
          <w:szCs w:val="24"/>
        </w:rPr>
        <w:t>URP</w:t>
      </w:r>
      <w:r w:rsidRPr="00AA2ABD">
        <w:rPr>
          <w:rFonts w:cs="DejaVuSans"/>
          <w:sz w:val="24"/>
          <w:szCs w:val="24"/>
        </w:rPr>
        <w:t xml:space="preserve"> dei Comuni del Distretto ovvero direttamente scaricato da</w:t>
      </w:r>
      <w:r>
        <w:rPr>
          <w:rFonts w:cs="DejaVuSans"/>
          <w:sz w:val="24"/>
          <w:szCs w:val="24"/>
        </w:rPr>
        <w:t>i siti web istituzionali degli stessi, nonché dai seguenti</w:t>
      </w:r>
      <w:r w:rsidRPr="00AA2ABD">
        <w:rPr>
          <w:rFonts w:cs="DejaVuSans"/>
          <w:sz w:val="24"/>
          <w:szCs w:val="24"/>
        </w:rPr>
        <w:t xml:space="preserve"> sit</w:t>
      </w:r>
      <w:r>
        <w:rPr>
          <w:rFonts w:cs="DejaVuSans"/>
          <w:sz w:val="24"/>
          <w:szCs w:val="24"/>
        </w:rPr>
        <w:t>i:</w:t>
      </w:r>
      <w:r w:rsidRPr="00AA2ABD">
        <w:rPr>
          <w:rFonts w:cs="DejaVuSans"/>
          <w:sz w:val="24"/>
          <w:szCs w:val="24"/>
        </w:rPr>
        <w:t xml:space="preserve"> </w:t>
      </w:r>
      <w:hyperlink r:id="rId15" w:history="1">
        <w:r w:rsidRPr="00D51133">
          <w:rPr>
            <w:rStyle w:val="Hyperlink"/>
            <w:rFonts w:cs="DejaVuSans"/>
            <w:sz w:val="24"/>
            <w:szCs w:val="24"/>
          </w:rPr>
          <w:t>www.inps.it</w:t>
        </w:r>
      </w:hyperlink>
      <w:r>
        <w:rPr>
          <w:rFonts w:cs="DejaVuSans"/>
          <w:sz w:val="24"/>
          <w:szCs w:val="24"/>
        </w:rPr>
        <w:t xml:space="preserve">, </w:t>
      </w:r>
      <w:hyperlink r:id="rId16" w:history="1">
        <w:r w:rsidRPr="00D51133">
          <w:rPr>
            <w:rStyle w:val="Hyperlink"/>
            <w:rFonts w:ascii="Arial" w:hAnsi="Arial" w:cs="Arial"/>
            <w:sz w:val="21"/>
            <w:szCs w:val="21"/>
            <w:shd w:val="clear" w:color="auto" w:fill="FFFFFF"/>
          </w:rPr>
          <w:t>www.</w:t>
        </w:r>
        <w:r w:rsidRPr="00D51133">
          <w:rPr>
            <w:rStyle w:val="Hyperlink"/>
            <w:rFonts w:ascii="Arial" w:hAnsi="Arial" w:cs="Arial"/>
            <w:b/>
            <w:bCs/>
            <w:sz w:val="21"/>
            <w:szCs w:val="21"/>
            <w:shd w:val="clear" w:color="auto" w:fill="FFFFFF"/>
          </w:rPr>
          <w:t>lavoro</w:t>
        </w:r>
        <w:r w:rsidRPr="00D51133">
          <w:rPr>
            <w:rStyle w:val="Hyperlink"/>
            <w:rFonts w:ascii="Arial" w:hAnsi="Arial" w:cs="Arial"/>
            <w:sz w:val="21"/>
            <w:szCs w:val="21"/>
            <w:shd w:val="clear" w:color="auto" w:fill="FFFFFF"/>
          </w:rPr>
          <w:t>.gov.it</w:t>
        </w:r>
      </w:hyperlink>
      <w:r>
        <w:rPr>
          <w:rFonts w:ascii="Arial" w:hAnsi="Arial" w:cs="Arial"/>
          <w:color w:val="006621"/>
          <w:sz w:val="21"/>
          <w:szCs w:val="21"/>
          <w:shd w:val="clear" w:color="auto" w:fill="FFFFFF"/>
        </w:rPr>
        <w:t xml:space="preserve">,  </w:t>
      </w:r>
      <w:hyperlink r:id="rId17" w:history="1">
        <w:r w:rsidRPr="00D51133">
          <w:rPr>
            <w:rStyle w:val="Hyperlink"/>
            <w:rFonts w:ascii="Arial" w:hAnsi="Arial" w:cs="Arial"/>
            <w:sz w:val="21"/>
            <w:szCs w:val="21"/>
            <w:shd w:val="clear" w:color="auto" w:fill="FFFFFF"/>
          </w:rPr>
          <w:t>www.</w:t>
        </w:r>
        <w:r w:rsidRPr="00D51133">
          <w:rPr>
            <w:rStyle w:val="Hyperlink"/>
            <w:rFonts w:ascii="Arial" w:hAnsi="Arial" w:cs="Arial"/>
            <w:b/>
            <w:bCs/>
            <w:sz w:val="21"/>
            <w:szCs w:val="21"/>
            <w:shd w:val="clear" w:color="auto" w:fill="FFFFFF"/>
          </w:rPr>
          <w:t>sgate</w:t>
        </w:r>
        <w:r w:rsidRPr="00D51133">
          <w:rPr>
            <w:rStyle w:val="Hyperlink"/>
            <w:rFonts w:ascii="Arial" w:hAnsi="Arial" w:cs="Arial"/>
            <w:sz w:val="21"/>
            <w:szCs w:val="21"/>
            <w:shd w:val="clear" w:color="auto" w:fill="FFFFFF"/>
          </w:rPr>
          <w:t>.anci.it</w:t>
        </w:r>
      </w:hyperlink>
      <w:r>
        <w:rPr>
          <w:rFonts w:ascii="Arial" w:hAnsi="Arial" w:cs="Arial"/>
          <w:color w:val="006621"/>
          <w:sz w:val="21"/>
          <w:szCs w:val="21"/>
          <w:shd w:val="clear" w:color="auto" w:fill="FFFFFF"/>
        </w:rPr>
        <w:t xml:space="preserve"> ,   </w:t>
      </w:r>
    </w:p>
    <w:p w:rsidR="00AA1C3D" w:rsidRPr="00AA2ABD" w:rsidRDefault="00AA1C3D" w:rsidP="006E525E">
      <w:pPr>
        <w:autoSpaceDE w:val="0"/>
        <w:autoSpaceDN w:val="0"/>
        <w:adjustRightInd w:val="0"/>
        <w:jc w:val="both"/>
        <w:rPr>
          <w:rFonts w:cs="DejaVuSans"/>
          <w:sz w:val="24"/>
          <w:szCs w:val="24"/>
        </w:rPr>
      </w:pPr>
      <w:r w:rsidRPr="00AA2ABD">
        <w:rPr>
          <w:rFonts w:cs="DejaVuSans-Bold"/>
          <w:b/>
          <w:bCs/>
          <w:sz w:val="24"/>
          <w:szCs w:val="24"/>
        </w:rPr>
        <w:t>L’istanza debitamente compilata, a pena di esclusione,</w:t>
      </w:r>
      <w:r w:rsidRPr="00AA2ABD">
        <w:rPr>
          <w:rFonts w:cs="DejaVuSans-Bold"/>
          <w:bCs/>
          <w:sz w:val="24"/>
          <w:szCs w:val="24"/>
        </w:rPr>
        <w:t xml:space="preserve"> </w:t>
      </w:r>
      <w:r w:rsidRPr="00AA2ABD">
        <w:rPr>
          <w:rFonts w:cs="DejaVuSans-Bold"/>
          <w:b/>
          <w:bCs/>
          <w:sz w:val="24"/>
          <w:szCs w:val="24"/>
        </w:rPr>
        <w:t xml:space="preserve">in ogni sua parte </w:t>
      </w:r>
      <w:r w:rsidRPr="00AA2ABD">
        <w:rPr>
          <w:rFonts w:cs="DejaVuSans"/>
          <w:sz w:val="24"/>
          <w:szCs w:val="24"/>
        </w:rPr>
        <w:t xml:space="preserve">potrà essere presentata </w:t>
      </w:r>
      <w:r w:rsidRPr="00AA2ABD">
        <w:rPr>
          <w:rFonts w:cs="DejaVuSans-Bold"/>
          <w:b/>
          <w:bCs/>
          <w:sz w:val="24"/>
          <w:szCs w:val="24"/>
        </w:rPr>
        <w:t xml:space="preserve">a partire dalle ore 9 del 5 settembre 2016 </w:t>
      </w:r>
      <w:r w:rsidRPr="00AA2ABD">
        <w:rPr>
          <w:rFonts w:cs="DejaVuSans"/>
          <w:sz w:val="24"/>
          <w:szCs w:val="24"/>
        </w:rPr>
        <w:t>presso l’ ufficio di Protocollo Generale dei Comuni in cui il richiedente ha la residenza.</w:t>
      </w:r>
    </w:p>
    <w:p w:rsidR="00AA1C3D" w:rsidRPr="00AA2ABD" w:rsidRDefault="00AA1C3D" w:rsidP="006E525E">
      <w:pPr>
        <w:autoSpaceDE w:val="0"/>
        <w:autoSpaceDN w:val="0"/>
        <w:adjustRightInd w:val="0"/>
        <w:jc w:val="both"/>
        <w:rPr>
          <w:rFonts w:cs="DejaVuSans"/>
          <w:sz w:val="24"/>
          <w:szCs w:val="24"/>
        </w:rPr>
      </w:pP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Ciascun Comune del Distretto trasmetterà le istanze all’INPS rispettando l’</w:t>
      </w:r>
      <w:r w:rsidRPr="00AA2ABD">
        <w:rPr>
          <w:rFonts w:cs="DejaVuSans-Bold"/>
          <w:b/>
          <w:bCs/>
          <w:sz w:val="24"/>
          <w:szCs w:val="24"/>
        </w:rPr>
        <w:t>ordine cronologico di arrivo</w:t>
      </w:r>
      <w:r w:rsidRPr="00AA2ABD">
        <w:rPr>
          <w:rFonts w:cs="DejaVuSans"/>
          <w:sz w:val="24"/>
          <w:szCs w:val="24"/>
        </w:rPr>
        <w:t>.</w:t>
      </w:r>
    </w:p>
    <w:p w:rsidR="00AA1C3D" w:rsidRPr="00AA2ABD" w:rsidRDefault="00AA1C3D" w:rsidP="006E525E">
      <w:pPr>
        <w:autoSpaceDE w:val="0"/>
        <w:autoSpaceDN w:val="0"/>
        <w:adjustRightInd w:val="0"/>
        <w:jc w:val="both"/>
        <w:rPr>
          <w:rFonts w:cs="DejaVuSans"/>
          <w:b/>
          <w:sz w:val="24"/>
          <w:szCs w:val="24"/>
        </w:rPr>
      </w:pPr>
      <w:r w:rsidRPr="00AA2ABD">
        <w:rPr>
          <w:rFonts w:cs="DejaVuSans"/>
          <w:b/>
          <w:sz w:val="24"/>
          <w:szCs w:val="24"/>
        </w:rPr>
        <w:t>Per la compilazione delle istanze i cittadini interessati potranno provvedere autonomamente o potranno rivolgersi ai Caf  e ai Patronati.</w:t>
      </w:r>
    </w:p>
    <w:p w:rsidR="00AA1C3D" w:rsidRPr="00AA2ABD" w:rsidRDefault="00AA1C3D" w:rsidP="006E525E">
      <w:pPr>
        <w:autoSpaceDE w:val="0"/>
        <w:autoSpaceDN w:val="0"/>
        <w:adjustRightInd w:val="0"/>
        <w:jc w:val="both"/>
        <w:rPr>
          <w:rFonts w:cs="TimesNewRomanPSMT"/>
          <w:sz w:val="24"/>
          <w:szCs w:val="24"/>
        </w:rPr>
      </w:pPr>
    </w:p>
    <w:p w:rsidR="00AA1C3D" w:rsidRPr="00AA2ABD" w:rsidRDefault="00AA1C3D" w:rsidP="006E525E">
      <w:pPr>
        <w:autoSpaceDE w:val="0"/>
        <w:autoSpaceDN w:val="0"/>
        <w:adjustRightInd w:val="0"/>
        <w:jc w:val="both"/>
        <w:rPr>
          <w:rFonts w:cs="DejaVuSans-Bold"/>
          <w:b/>
          <w:bCs/>
          <w:sz w:val="24"/>
          <w:szCs w:val="24"/>
        </w:rPr>
      </w:pPr>
      <w:r w:rsidRPr="00AA2ABD">
        <w:rPr>
          <w:rFonts w:cs="DejaVuSans-Bold"/>
          <w:b/>
          <w:bCs/>
          <w:sz w:val="24"/>
          <w:szCs w:val="24"/>
        </w:rPr>
        <w:t>BENEFICI CONCESSI</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Il beneficio economico viene concesso, con cadenza bimestrale, in relazione alla composizione del nucleo familiare beneficiario, secondo la seguente ripartizione:</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NUCLEO FAMILIARE IMPORTO MENSILE (€)</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1 membro 80</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2 membri 160</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3 membri 240</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4 membri 320</w:t>
      </w: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5 o più membri 400</w:t>
      </w:r>
    </w:p>
    <w:p w:rsidR="00AA1C3D" w:rsidRPr="00AA2ABD" w:rsidRDefault="00AA1C3D" w:rsidP="006E525E">
      <w:pPr>
        <w:autoSpaceDE w:val="0"/>
        <w:autoSpaceDN w:val="0"/>
        <w:adjustRightInd w:val="0"/>
        <w:jc w:val="both"/>
        <w:rPr>
          <w:rFonts w:cs="DejaVuSans"/>
          <w:sz w:val="24"/>
          <w:szCs w:val="24"/>
        </w:rPr>
      </w:pPr>
    </w:p>
    <w:p w:rsidR="00AA1C3D" w:rsidRPr="00AA2ABD" w:rsidRDefault="00AA1C3D" w:rsidP="006E525E">
      <w:pPr>
        <w:autoSpaceDE w:val="0"/>
        <w:autoSpaceDN w:val="0"/>
        <w:adjustRightInd w:val="0"/>
        <w:jc w:val="both"/>
        <w:rPr>
          <w:rFonts w:cs="DejaVuSans"/>
          <w:sz w:val="24"/>
          <w:szCs w:val="24"/>
        </w:rPr>
      </w:pPr>
      <w:r w:rsidRPr="00AA2ABD">
        <w:rPr>
          <w:rFonts w:cs="DejaVuSans"/>
          <w:sz w:val="24"/>
          <w:szCs w:val="24"/>
        </w:rPr>
        <w:t xml:space="preserve">Sciacca,               </w:t>
      </w:r>
    </w:p>
    <w:p w:rsidR="00AA1C3D" w:rsidRPr="00AA2ABD" w:rsidRDefault="00AA1C3D" w:rsidP="006E525E">
      <w:pPr>
        <w:autoSpaceDE w:val="0"/>
        <w:autoSpaceDN w:val="0"/>
        <w:adjustRightInd w:val="0"/>
        <w:jc w:val="both"/>
        <w:rPr>
          <w:rFonts w:cs="DejaVuSans"/>
          <w:sz w:val="24"/>
          <w:szCs w:val="24"/>
        </w:rPr>
      </w:pPr>
    </w:p>
    <w:p w:rsidR="00AA1C3D" w:rsidRPr="00AA2ABD" w:rsidRDefault="00AA1C3D" w:rsidP="00AA2ABD">
      <w:pPr>
        <w:autoSpaceDE w:val="0"/>
        <w:autoSpaceDN w:val="0"/>
        <w:adjustRightInd w:val="0"/>
        <w:jc w:val="both"/>
        <w:rPr>
          <w:rFonts w:cs="DejaVuSans-Oblique"/>
          <w:i/>
          <w:iCs/>
          <w:sz w:val="24"/>
          <w:szCs w:val="24"/>
        </w:rPr>
      </w:pPr>
      <w:r w:rsidRPr="00AA2ABD">
        <w:rPr>
          <w:rFonts w:cs="DejaVuSans"/>
          <w:sz w:val="24"/>
          <w:szCs w:val="24"/>
        </w:rPr>
        <w:tab/>
      </w:r>
      <w:r w:rsidRPr="00AA2ABD">
        <w:rPr>
          <w:rFonts w:cs="DejaVuSans"/>
          <w:sz w:val="24"/>
          <w:szCs w:val="24"/>
        </w:rPr>
        <w:tab/>
      </w:r>
      <w:r w:rsidRPr="00AA2ABD">
        <w:rPr>
          <w:rFonts w:cs="DejaVuSans"/>
          <w:sz w:val="24"/>
          <w:szCs w:val="24"/>
        </w:rPr>
        <w:tab/>
      </w:r>
      <w:r w:rsidRPr="00AA2ABD">
        <w:rPr>
          <w:rFonts w:cs="DejaVuSans-Oblique"/>
          <w:i/>
          <w:iCs/>
          <w:sz w:val="24"/>
          <w:szCs w:val="24"/>
        </w:rPr>
        <w:t xml:space="preserve"> </w:t>
      </w:r>
    </w:p>
    <w:p w:rsidR="00AA1C3D" w:rsidRPr="00AA2ABD" w:rsidRDefault="00AA1C3D" w:rsidP="006E525E">
      <w:pPr>
        <w:autoSpaceDE w:val="0"/>
        <w:autoSpaceDN w:val="0"/>
        <w:adjustRightInd w:val="0"/>
        <w:jc w:val="both"/>
        <w:rPr>
          <w:rFonts w:cs="TimesNewRomanPSMT"/>
          <w:sz w:val="24"/>
          <w:szCs w:val="24"/>
        </w:rPr>
      </w:pPr>
    </w:p>
    <w:p w:rsidR="00AA1C3D" w:rsidRPr="00AA2ABD" w:rsidRDefault="00AA1C3D" w:rsidP="006E525E">
      <w:pPr>
        <w:autoSpaceDE w:val="0"/>
        <w:autoSpaceDN w:val="0"/>
        <w:adjustRightInd w:val="0"/>
        <w:jc w:val="both"/>
        <w:rPr>
          <w:rFonts w:cs="TimesNewRomanPSMT"/>
          <w:sz w:val="24"/>
          <w:szCs w:val="24"/>
        </w:rPr>
      </w:pPr>
    </w:p>
    <w:sectPr w:rsidR="00AA1C3D" w:rsidRPr="00AA2ABD" w:rsidSect="004D09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DejaVuSan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DejaVuSans-Bold">
    <w:panose1 w:val="00000000000000000000"/>
    <w:charset w:val="00"/>
    <w:family w:val="auto"/>
    <w:notTrueType/>
    <w:pitch w:val="default"/>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DejaVuSans-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41D2"/>
    <w:multiLevelType w:val="hybridMultilevel"/>
    <w:tmpl w:val="4CA23F98"/>
    <w:lvl w:ilvl="0" w:tplc="ABAC6864">
      <w:numFmt w:val="bullet"/>
      <w:lvlText w:val="-"/>
      <w:lvlJc w:val="left"/>
      <w:pPr>
        <w:ind w:left="1080" w:hanging="360"/>
      </w:pPr>
      <w:rPr>
        <w:rFonts w:ascii="DejaVuSans" w:eastAsia="Times New Roman" w:hAnsi="DejaVuSan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EBF3768"/>
    <w:multiLevelType w:val="hybridMultilevel"/>
    <w:tmpl w:val="6FDE1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634FF1"/>
    <w:multiLevelType w:val="hybridMultilevel"/>
    <w:tmpl w:val="790C5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395"/>
    <w:rsid w:val="000467B4"/>
    <w:rsid w:val="000D2A24"/>
    <w:rsid w:val="000E164D"/>
    <w:rsid w:val="0011325E"/>
    <w:rsid w:val="001739AF"/>
    <w:rsid w:val="00196BFD"/>
    <w:rsid w:val="001C4252"/>
    <w:rsid w:val="001C7EF7"/>
    <w:rsid w:val="001E6200"/>
    <w:rsid w:val="00251FFF"/>
    <w:rsid w:val="00283543"/>
    <w:rsid w:val="002E7BC5"/>
    <w:rsid w:val="002E7D68"/>
    <w:rsid w:val="00302395"/>
    <w:rsid w:val="00312EFE"/>
    <w:rsid w:val="003506C3"/>
    <w:rsid w:val="004321DD"/>
    <w:rsid w:val="004357DF"/>
    <w:rsid w:val="00450A89"/>
    <w:rsid w:val="004D0922"/>
    <w:rsid w:val="00541AAD"/>
    <w:rsid w:val="00550DC1"/>
    <w:rsid w:val="005B0000"/>
    <w:rsid w:val="00667984"/>
    <w:rsid w:val="006E525E"/>
    <w:rsid w:val="0071613D"/>
    <w:rsid w:val="007835CC"/>
    <w:rsid w:val="007859FD"/>
    <w:rsid w:val="007B23F3"/>
    <w:rsid w:val="00885914"/>
    <w:rsid w:val="008D4039"/>
    <w:rsid w:val="00A921D2"/>
    <w:rsid w:val="00AA1C3D"/>
    <w:rsid w:val="00AA2ABD"/>
    <w:rsid w:val="00AB154E"/>
    <w:rsid w:val="00AF6585"/>
    <w:rsid w:val="00B21F8A"/>
    <w:rsid w:val="00B2580B"/>
    <w:rsid w:val="00CC22BF"/>
    <w:rsid w:val="00CD4C59"/>
    <w:rsid w:val="00D03706"/>
    <w:rsid w:val="00D51133"/>
    <w:rsid w:val="00DF1D7C"/>
    <w:rsid w:val="00EA3FEA"/>
    <w:rsid w:val="00F52190"/>
    <w:rsid w:val="00FC6D2C"/>
    <w:rsid w:val="00FE08D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22"/>
    <w:rPr>
      <w:lang w:eastAsia="en-US"/>
    </w:rPr>
  </w:style>
  <w:style w:type="paragraph" w:styleId="Heading3">
    <w:name w:val="heading 3"/>
    <w:basedOn w:val="Normal"/>
    <w:next w:val="Normal"/>
    <w:link w:val="Heading3Char"/>
    <w:uiPriority w:val="99"/>
    <w:qFormat/>
    <w:rsid w:val="00B21F8A"/>
    <w:pPr>
      <w:keepNext/>
      <w:spacing w:before="240" w:after="60"/>
      <w:outlineLvl w:val="2"/>
    </w:pPr>
    <w:rPr>
      <w:rFonts w:ascii="Arial" w:eastAsia="Times New Roman" w:hAnsi="Arial" w:cs="Arial"/>
      <w:b/>
      <w:bCs/>
      <w:sz w:val="26"/>
      <w:szCs w:val="2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21F8A"/>
    <w:rPr>
      <w:rFonts w:ascii="Arial" w:hAnsi="Arial" w:cs="Arial"/>
      <w:b/>
      <w:bCs/>
      <w:sz w:val="26"/>
      <w:szCs w:val="26"/>
      <w:lang w:eastAsia="it-IT"/>
    </w:rPr>
  </w:style>
  <w:style w:type="paragraph" w:styleId="BalloonText">
    <w:name w:val="Balloon Text"/>
    <w:basedOn w:val="Normal"/>
    <w:link w:val="BalloonTextChar"/>
    <w:uiPriority w:val="99"/>
    <w:semiHidden/>
    <w:rsid w:val="00196B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BFD"/>
    <w:rPr>
      <w:rFonts w:ascii="Tahoma" w:hAnsi="Tahoma" w:cs="Tahoma"/>
      <w:sz w:val="16"/>
      <w:szCs w:val="16"/>
    </w:rPr>
  </w:style>
  <w:style w:type="paragraph" w:styleId="ListParagraph">
    <w:name w:val="List Paragraph"/>
    <w:basedOn w:val="Normal"/>
    <w:uiPriority w:val="99"/>
    <w:qFormat/>
    <w:rsid w:val="004357DF"/>
    <w:pPr>
      <w:ind w:left="720"/>
      <w:contextualSpacing/>
    </w:pPr>
  </w:style>
  <w:style w:type="character" w:styleId="Hyperlink">
    <w:name w:val="Hyperlink"/>
    <w:basedOn w:val="DefaultParagraphFont"/>
    <w:uiPriority w:val="99"/>
    <w:rsid w:val="00AA2AB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www.sgate.anci.it" TargetMode="External"/><Relationship Id="rId2" Type="http://schemas.openxmlformats.org/officeDocument/2006/relationships/styles" Target="styles.xml"/><Relationship Id="rId16" Type="http://schemas.openxmlformats.org/officeDocument/2006/relationships/hyperlink" Target="http://www.lavoro.gov.it"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1.bin"/><Relationship Id="rId5" Type="http://schemas.openxmlformats.org/officeDocument/2006/relationships/image" Target="media/image1.emf"/><Relationship Id="rId15" Type="http://schemas.openxmlformats.org/officeDocument/2006/relationships/hyperlink" Target="http://www.inps.it"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1160</Words>
  <Characters>6613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comune</dc:creator>
  <cp:keywords/>
  <dc:description/>
  <cp:lastModifiedBy>.</cp:lastModifiedBy>
  <cp:revision>2</cp:revision>
  <dcterms:created xsi:type="dcterms:W3CDTF">2016-09-01T08:29:00Z</dcterms:created>
  <dcterms:modified xsi:type="dcterms:W3CDTF">2016-09-01T08:29:00Z</dcterms:modified>
</cp:coreProperties>
</file>